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489D" w14:textId="77777777" w:rsidR="007C1DD5" w:rsidRDefault="005173D7">
      <w:pPr>
        <w:spacing w:before="83" w:line="227" w:lineRule="exact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Holistic Observation of Students Assignment #1 </w:t>
      </w:r>
      <w:r>
        <w:rPr>
          <w:rFonts w:ascii="Calibri" w:eastAsia="Calibri" w:hAnsi="Calibri"/>
          <w:color w:val="000000"/>
        </w:rPr>
        <w:t>Look at your students in a holistic way.</w:t>
      </w:r>
    </w:p>
    <w:p w14:paraId="42E6489E" w14:textId="77777777" w:rsidR="007C1DD5" w:rsidRDefault="005173D7">
      <w:pPr>
        <w:spacing w:before="66" w:line="222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- Consider the classroom in the 4 aspects of the medicine wheel.</w:t>
      </w:r>
    </w:p>
    <w:p w14:paraId="42E6489F" w14:textId="77777777" w:rsidR="007C1DD5" w:rsidRDefault="005173D7">
      <w:pPr>
        <w:spacing w:before="66" w:line="222" w:lineRule="exact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 xml:space="preserve">- Teacher candidates, are there students who have strengths in a particular quadrant and are </w:t>
      </w:r>
      <w:proofErr w:type="gramStart"/>
      <w:r>
        <w:rPr>
          <w:rFonts w:ascii="Calibri" w:eastAsia="Calibri" w:hAnsi="Calibri"/>
          <w:color w:val="000000"/>
          <w:spacing w:val="-1"/>
        </w:rPr>
        <w:t>there</w:t>
      </w:r>
      <w:proofErr w:type="gramEnd"/>
    </w:p>
    <w:p w14:paraId="42E648A0" w14:textId="77777777" w:rsidR="007C1DD5" w:rsidRDefault="005173D7">
      <w:pPr>
        <w:spacing w:before="66" w:line="222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students whose needs you will have to remember when planning?</w:t>
      </w:r>
    </w:p>
    <w:p w14:paraId="42E648A1" w14:textId="77777777" w:rsidR="007C1DD5" w:rsidRDefault="005173D7">
      <w:pPr>
        <w:spacing w:before="71" w:line="221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- Compare your observations with your collaborating teacher.</w:t>
      </w:r>
    </w:p>
    <w:p w14:paraId="42E648A2" w14:textId="77777777" w:rsidR="007C1DD5" w:rsidRDefault="005173D7">
      <w:pPr>
        <w:spacing w:before="67" w:after="768" w:line="221" w:lineRule="exact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>- Child-centered.</w:t>
      </w:r>
    </w:p>
    <w:p w14:paraId="42E648A3" w14:textId="77777777" w:rsidR="007C1DD5" w:rsidRDefault="005173D7">
      <w:pPr>
        <w:spacing w:after="1084"/>
        <w:ind w:left="821" w:right="311"/>
        <w:textAlignment w:val="baseline"/>
      </w:pPr>
      <w:r>
        <w:rPr>
          <w:noProof/>
        </w:rPr>
        <w:drawing>
          <wp:inline distT="0" distB="0" distL="0" distR="0" wp14:anchorId="42E648B4" wp14:editId="42E648B5">
            <wp:extent cx="4894580" cy="491934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4580" cy="491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648A4" w14:textId="77777777" w:rsidR="007C1DD5" w:rsidRDefault="005173D7">
      <w:pPr>
        <w:spacing w:before="68" w:line="221" w:lineRule="exact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>Adapted from:</w:t>
      </w:r>
    </w:p>
    <w:p w14:paraId="42E648A5" w14:textId="77777777" w:rsidR="007C1DD5" w:rsidRDefault="005173D7">
      <w:pPr>
        <w:spacing w:before="67" w:line="221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-</w:t>
      </w:r>
      <w:hyperlink r:id="rId7">
        <w:r>
          <w:rPr>
            <w:rFonts w:ascii="Calibri" w:eastAsia="Calibri" w:hAnsi="Calibri"/>
            <w:color w:val="0000FF"/>
            <w:u w:val="single"/>
          </w:rPr>
          <w:t xml:space="preserve"> https://cbe.ab.ca/about-us/policies-and-regulations/Documents/Indigenous-Education-Holistic-</w:t>
        </w:r>
      </w:hyperlink>
      <w:r>
        <w:rPr>
          <w:rFonts w:ascii="Calibri" w:eastAsia="Calibri" w:hAnsi="Calibri"/>
          <w:color w:val="000000"/>
          <w:sz w:val="24"/>
        </w:rPr>
        <w:t xml:space="preserve"> </w:t>
      </w:r>
    </w:p>
    <w:p w14:paraId="42E648A6" w14:textId="77777777" w:rsidR="007C1DD5" w:rsidRDefault="00915EC1">
      <w:pPr>
        <w:spacing w:before="71" w:line="222" w:lineRule="exact"/>
        <w:textAlignment w:val="baseline"/>
        <w:rPr>
          <w:rFonts w:ascii="Calibri" w:eastAsia="Calibri" w:hAnsi="Calibri"/>
          <w:color w:val="0562C1"/>
          <w:spacing w:val="-1"/>
          <w:u w:val="single"/>
        </w:rPr>
      </w:pPr>
      <w:hyperlink r:id="rId8">
        <w:r w:rsidR="005173D7">
          <w:rPr>
            <w:rFonts w:ascii="Calibri" w:eastAsia="Calibri" w:hAnsi="Calibri"/>
            <w:color w:val="0000FF"/>
            <w:spacing w:val="-1"/>
            <w:u w:val="single"/>
          </w:rPr>
          <w:t>Lifelong-Learning-Framework.pdf</w:t>
        </w:r>
      </w:hyperlink>
      <w:r w:rsidR="005173D7">
        <w:rPr>
          <w:rFonts w:ascii="Calibri" w:eastAsia="Calibri" w:hAnsi="Calibri"/>
          <w:color w:val="000000"/>
          <w:spacing w:val="-1"/>
        </w:rPr>
        <w:t xml:space="preserve"> </w:t>
      </w:r>
    </w:p>
    <w:p w14:paraId="42E648A7" w14:textId="77777777" w:rsidR="007C1DD5" w:rsidRDefault="005173D7">
      <w:pPr>
        <w:spacing w:before="66" w:line="222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-</w:t>
      </w:r>
      <w:hyperlink r:id="rId9">
        <w:r>
          <w:rPr>
            <w:rFonts w:ascii="Calibri" w:eastAsia="Calibri" w:hAnsi="Calibri"/>
            <w:color w:val="0000FF"/>
            <w:u w:val="single"/>
          </w:rPr>
          <w:t xml:space="preserve"> https://www.mycota.ca/pro-d-blog/2019/04/16/teaching-by-the-medicine-wheel</w:t>
        </w:r>
      </w:hyperlink>
      <w:r>
        <w:rPr>
          <w:rFonts w:ascii="Calibri" w:eastAsia="Calibri" w:hAnsi="Calibri"/>
          <w:color w:val="0562C1"/>
          <w:u w:val="single"/>
        </w:rPr>
        <w:t xml:space="preserve"> </w:t>
      </w:r>
      <w:r>
        <w:rPr>
          <w:rFonts w:ascii="Calibri" w:eastAsia="Calibri" w:hAnsi="Calibri"/>
          <w:color w:val="0562C1"/>
        </w:rPr>
        <w:t xml:space="preserve"> </w:t>
      </w:r>
    </w:p>
    <w:p w14:paraId="42E648A8" w14:textId="77777777" w:rsidR="007C1DD5" w:rsidRDefault="007C1DD5">
      <w:pPr>
        <w:sectPr w:rsidR="007C1DD5">
          <w:pgSz w:w="12240" w:h="15840"/>
          <w:pgMar w:top="1380" w:right="1955" w:bottom="1444" w:left="1445" w:header="720" w:footer="720" w:gutter="0"/>
          <w:cols w:space="720"/>
        </w:sectPr>
      </w:pPr>
    </w:p>
    <w:p w14:paraId="42E648A9" w14:textId="77777777" w:rsidR="007C1DD5" w:rsidRDefault="005173D7">
      <w:pPr>
        <w:spacing w:before="83" w:line="227" w:lineRule="exact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lastRenderedPageBreak/>
        <w:t xml:space="preserve">Holistic Observation of Students Assignment #1 </w:t>
      </w:r>
      <w:r>
        <w:rPr>
          <w:rFonts w:ascii="Calibri" w:eastAsia="Calibri" w:hAnsi="Calibri"/>
          <w:color w:val="000000"/>
        </w:rPr>
        <w:t>Look at your students in a holistic way.</w:t>
      </w:r>
    </w:p>
    <w:p w14:paraId="42E648AA" w14:textId="77777777" w:rsidR="007C1DD5" w:rsidRDefault="005173D7">
      <w:pPr>
        <w:spacing w:before="66" w:line="222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- Consider the classroom in the 4 aspects of the medicine wheel.</w:t>
      </w:r>
    </w:p>
    <w:p w14:paraId="42E648AB" w14:textId="77777777" w:rsidR="007C1DD5" w:rsidRDefault="005173D7">
      <w:pPr>
        <w:spacing w:before="66" w:line="222" w:lineRule="exact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 xml:space="preserve">- Teacher candidates, are there students who have strengths in a particular quadrant and are </w:t>
      </w:r>
      <w:proofErr w:type="gramStart"/>
      <w:r>
        <w:rPr>
          <w:rFonts w:ascii="Calibri" w:eastAsia="Calibri" w:hAnsi="Calibri"/>
          <w:color w:val="000000"/>
          <w:spacing w:val="-1"/>
        </w:rPr>
        <w:t>there</w:t>
      </w:r>
      <w:proofErr w:type="gramEnd"/>
    </w:p>
    <w:p w14:paraId="42E648AC" w14:textId="77777777" w:rsidR="007C1DD5" w:rsidRDefault="005173D7">
      <w:pPr>
        <w:spacing w:before="66" w:line="222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students whose needs you will have to remember when planning?</w:t>
      </w:r>
    </w:p>
    <w:p w14:paraId="42E648AD" w14:textId="77777777" w:rsidR="007C1DD5" w:rsidRDefault="005173D7">
      <w:pPr>
        <w:spacing w:before="71" w:line="221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- Compare your observations with your collaborating teacher.</w:t>
      </w:r>
    </w:p>
    <w:p w14:paraId="42E648AE" w14:textId="77777777" w:rsidR="007C1DD5" w:rsidRDefault="005173D7">
      <w:pPr>
        <w:spacing w:before="67" w:after="696" w:line="221" w:lineRule="exact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>- Child-centered.</w:t>
      </w:r>
    </w:p>
    <w:p w14:paraId="42E648AF" w14:textId="77777777" w:rsidR="007C1DD5" w:rsidRDefault="005173D7">
      <w:pPr>
        <w:spacing w:after="1199"/>
        <w:ind w:left="825" w:right="321"/>
        <w:textAlignment w:val="baseline"/>
      </w:pPr>
      <w:r>
        <w:rPr>
          <w:noProof/>
        </w:rPr>
        <w:drawing>
          <wp:inline distT="0" distB="0" distL="0" distR="0" wp14:anchorId="42E648B6" wp14:editId="42E648B7">
            <wp:extent cx="4885690" cy="4895215"/>
            <wp:effectExtent l="0" t="0" r="0" b="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5690" cy="489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648B0" w14:textId="77777777" w:rsidR="007C1DD5" w:rsidRDefault="005173D7">
      <w:pPr>
        <w:spacing w:before="68" w:line="221" w:lineRule="exact"/>
        <w:textAlignment w:val="baseline"/>
        <w:rPr>
          <w:rFonts w:ascii="Calibri" w:eastAsia="Calibri" w:hAnsi="Calibri"/>
          <w:color w:val="000000"/>
          <w:spacing w:val="-1"/>
        </w:rPr>
      </w:pPr>
      <w:r>
        <w:rPr>
          <w:rFonts w:ascii="Calibri" w:eastAsia="Calibri" w:hAnsi="Calibri"/>
          <w:color w:val="000000"/>
          <w:spacing w:val="-1"/>
        </w:rPr>
        <w:t>Adapted from:</w:t>
      </w:r>
    </w:p>
    <w:p w14:paraId="42E648B1" w14:textId="77777777" w:rsidR="007C1DD5" w:rsidRDefault="005173D7">
      <w:pPr>
        <w:spacing w:before="67" w:line="221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-</w:t>
      </w:r>
      <w:hyperlink r:id="rId11">
        <w:r>
          <w:rPr>
            <w:rFonts w:ascii="Calibri" w:eastAsia="Calibri" w:hAnsi="Calibri"/>
            <w:color w:val="0000FF"/>
            <w:u w:val="single"/>
          </w:rPr>
          <w:t xml:space="preserve"> https://cbe.ab.ca/about-us/policies-and-regulations/Documents/Indigenous-Education-Holistic-</w:t>
        </w:r>
      </w:hyperlink>
      <w:r>
        <w:rPr>
          <w:rFonts w:ascii="Calibri" w:eastAsia="Calibri" w:hAnsi="Calibri"/>
          <w:color w:val="000000"/>
          <w:sz w:val="24"/>
        </w:rPr>
        <w:t xml:space="preserve"> </w:t>
      </w:r>
    </w:p>
    <w:p w14:paraId="42E648B2" w14:textId="77777777" w:rsidR="007C1DD5" w:rsidRDefault="00915EC1">
      <w:pPr>
        <w:spacing w:before="71" w:line="222" w:lineRule="exact"/>
        <w:textAlignment w:val="baseline"/>
        <w:rPr>
          <w:rFonts w:ascii="Calibri" w:eastAsia="Calibri" w:hAnsi="Calibri"/>
          <w:color w:val="0562C1"/>
          <w:spacing w:val="-1"/>
          <w:u w:val="single"/>
        </w:rPr>
      </w:pPr>
      <w:hyperlink r:id="rId12">
        <w:r w:rsidR="005173D7">
          <w:rPr>
            <w:rFonts w:ascii="Calibri" w:eastAsia="Calibri" w:hAnsi="Calibri"/>
            <w:color w:val="0000FF"/>
            <w:spacing w:val="-1"/>
            <w:u w:val="single"/>
          </w:rPr>
          <w:t>Lifelong-Learning-Framework.pdf</w:t>
        </w:r>
      </w:hyperlink>
      <w:r w:rsidR="005173D7">
        <w:rPr>
          <w:rFonts w:ascii="Calibri" w:eastAsia="Calibri" w:hAnsi="Calibri"/>
          <w:color w:val="000000"/>
          <w:spacing w:val="-1"/>
        </w:rPr>
        <w:t xml:space="preserve"> </w:t>
      </w:r>
    </w:p>
    <w:p w14:paraId="42E648B3" w14:textId="77777777" w:rsidR="007C1DD5" w:rsidRDefault="005173D7">
      <w:pPr>
        <w:spacing w:before="66" w:line="222" w:lineRule="exact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-</w:t>
      </w:r>
      <w:hyperlink r:id="rId13">
        <w:r>
          <w:rPr>
            <w:rFonts w:ascii="Calibri" w:eastAsia="Calibri" w:hAnsi="Calibri"/>
            <w:color w:val="0000FF"/>
            <w:u w:val="single"/>
          </w:rPr>
          <w:t xml:space="preserve"> https://www.mycota.ca/pro-d-blog/2019/04/16/teaching-by-the-medicine-wheel</w:t>
        </w:r>
      </w:hyperlink>
      <w:r>
        <w:rPr>
          <w:rFonts w:ascii="Calibri" w:eastAsia="Calibri" w:hAnsi="Calibri"/>
          <w:color w:val="0562C1"/>
          <w:u w:val="single"/>
        </w:rPr>
        <w:t xml:space="preserve"> </w:t>
      </w:r>
      <w:r>
        <w:rPr>
          <w:rFonts w:ascii="Calibri" w:eastAsia="Calibri" w:hAnsi="Calibri"/>
          <w:color w:val="0562C1"/>
        </w:rPr>
        <w:t xml:space="preserve"> </w:t>
      </w:r>
    </w:p>
    <w:sectPr w:rsidR="007C1DD5">
      <w:pgSz w:w="12240" w:h="15840"/>
      <w:pgMar w:top="1380" w:right="1959" w:bottom="1444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48BC" w14:textId="77777777" w:rsidR="005173D7" w:rsidRDefault="005173D7">
      <w:r>
        <w:separator/>
      </w:r>
    </w:p>
  </w:endnote>
  <w:endnote w:type="continuationSeparator" w:id="0">
    <w:p w14:paraId="42E648BE" w14:textId="77777777" w:rsidR="005173D7" w:rsidRDefault="0051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48B8" w14:textId="77777777" w:rsidR="007C1DD5" w:rsidRDefault="007C1DD5"/>
  </w:footnote>
  <w:footnote w:type="continuationSeparator" w:id="0">
    <w:p w14:paraId="42E648B9" w14:textId="77777777" w:rsidR="007C1DD5" w:rsidRDefault="00517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D5"/>
    <w:rsid w:val="005173D7"/>
    <w:rsid w:val="007C1DD5"/>
    <w:rsid w:val="0091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489D"/>
  <w15:docId w15:val="{CDA6FFC0-676B-4647-9A3B-E857C767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e.ab.ca/about-us/policies-and-regulations/Documents/Indigenous-Education-Holistic-Lifelong-Learning-Framework.pdf" TargetMode="External"/><Relationship Id="rId13" Type="http://schemas.openxmlformats.org/officeDocument/2006/relationships/hyperlink" Target="https://www.mycota.ca/pro-d-blog/2019/04/16/teaching-by-the-medicine-whe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be.ab.ca/about-us/policies-and-regulations/Documents/Indigenous-Education-Holistic-Lifelong-Learning-Framework.pdf" TargetMode="External"/><Relationship Id="rId12" Type="http://schemas.openxmlformats.org/officeDocument/2006/relationships/hyperlink" Target="https://cbe.ab.ca/about-us/policies-and-regulations/Documents/Indigenous-Education-Holistic-Lifelong-Learning-Framework.pdf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cbe.ab.ca/about-us/policies-and-regulations/Documents/Indigenous-Education-Holistic-Lifelong-Learning-Framework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hyperlink" Target="https://www.mycota.ca/pro-d-blog/2019/04/16/teaching-by-the-medicine-whe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>University of Saskatchewan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Jay, Connor</dc:creator>
  <cp:lastModifiedBy>Pryor-Hildebrandt, Kathleen</cp:lastModifiedBy>
  <cp:revision>2</cp:revision>
  <dcterms:created xsi:type="dcterms:W3CDTF">2024-03-15T16:26:00Z</dcterms:created>
  <dcterms:modified xsi:type="dcterms:W3CDTF">2024-03-15T16:26:00Z</dcterms:modified>
</cp:coreProperties>
</file>